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0"/>
      </w:pPr>
      <w:r>
        <w:t xml:space="preserve"/>
      </w:r>
    </w:p>
    <w:p>
      <w:pPr>
        <w:spacing w:after="240"/>
        <w:jc w:val="center"/>
      </w:pPr>
      <w:r>
        <w:rPr>
          <w:b/>
          <w:bCs/>
          <w:color w:val="1F5F5B"/>
          <w:sz w:val="72"/>
          <w:szCs w:val="72"/>
        </w:rPr>
        <w:t xml:space="preserve">KLINIQ</w:t>
      </w:r>
    </w:p>
    <w:p>
      <w:pPr>
        <w:spacing w:after="120"/>
        <w:jc w:val="center"/>
      </w:pPr>
      <w:r>
        <w:rPr>
          <w:sz w:val="36"/>
          <w:szCs w:val="36"/>
        </w:rPr>
        <w:t xml:space="preserve">Clinic in a Box für Ästhetikärzt:innen</w:t>
      </w:r>
    </w:p>
    <w:p>
      <w:pPr>
        <w:spacing w:after="2400"/>
        <w:jc w:val="center"/>
      </w:pPr>
      <w:r>
        <w:rPr>
          <w:color w:val="5A5A5A"/>
          <w:sz w:val="26"/>
          <w:szCs w:val="26"/>
        </w:rPr>
        <w:t xml:space="preserve">Die Plattform für den Weg in die eigene ästhetische Praxis</w:t>
      </w:r>
    </w:p>
    <w:p>
      <w:pPr>
        <w:spacing w:after="120"/>
        <w:jc w:val="center"/>
      </w:pPr>
      <w:r>
        <w:rPr>
          <w:b/>
          <w:bCs/>
          <w:sz w:val="28"/>
          <w:szCs w:val="28"/>
        </w:rPr>
        <w:t xml:space="preserve">Businessplan</w:t>
      </w:r>
    </w:p>
    <w:p>
      <w:pPr>
        <w:spacing w:after="120"/>
        <w:jc w:val="center"/>
      </w:pPr>
      <w:r>
        <w:rPr>
          <w:color w:val="5A5A5A"/>
          <w:sz w:val="22"/>
          <w:szCs w:val="22"/>
        </w:rPr>
        <w:t xml:space="preserve">Juli 2026 — Vertraulich</w:t>
      </w:r>
    </w:p>
    <w:p>
      <w:pPr>
        <w:spacing w:after="160"/>
        <w:jc w:val="center"/>
      </w:pPr>
      <w:r>
        <w:rPr>
          <w:color w:val="5A5A5A"/>
          <w:sz w:val="22"/>
          <w:szCs w:val="22"/>
        </w:rPr>
        <w:t xml:space="preserve">Max Renneberg · Andrea Wagner</w:t>
      </w:r>
    </w:p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Inhalt</w:t>
      </w:r>
    </w:p>
    <w:sdt>
      <w:sdtPr>
        <w:alias w:val="Inhalt"/>
      </w:sdtPr>
      <w:sdtContent>
        <w:p>
          <w:r>
            <w:fldChar w:fldCharType="begin" w:dirty="true"/>
            <w:instrText xml:space="preserve">TOC \h \o "1-2"</w:instrText>
            <w:fldChar w:fldCharType="separate"/>
          </w:r>
        </w:p>
        <w:p>
          <w:r>
            <w:fldChar w:fldCharType="end"/>
          </w:r>
        </w:p>
      </w:sdtContent>
    </w:sdt>
    <w:p>
      <w:pPr>
        <w:sectPr>
          <w:pgSz w:w="11906" w:h="16838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1. Executive Summary</w:t>
      </w:r>
    </w:p>
    <w:p>
      <w:pPr>
        <w:spacing w:after="160"/>
      </w:pPr>
      <w:r>
        <w:rPr>
          <w:b/>
          <w:bCs/>
        </w:rPr>
        <w:t xml:space="preserve">KLINIQ ist die erste integrierte Gründungs- und Betriebsplattform („Clinic in a Box“) für Ästhetikärzt:innen in Deutschland. </w:t>
      </w:r>
      <w:r>
        <w:t xml:space="preserve">Wir bringen approbierte Ärzt:innen in 90 Tagen in die eigene, profitable ästhetische Praxis — mit Standort, Ausbau, Geräten, Regulatorik, Software, Marketing und Einkauf aus einer Hand. Das Modell überträgt das in den USA bewiesene Enabler-Playbook von Moxie (500+ gelaunchte MedSpas, ca. 25,7 Mio. USD Funding) auf den deutschen Markt — angepasst an dessen Regulatorik und mit Ärzt:innen statt Pflegekräften als Zielgruppe.</w:t>
      </w:r>
    </w:p>
    <w:p>
      <w:pPr>
        <w:spacing w:after="160"/>
      </w:pPr>
      <w:r>
        <w:rPr>
          <w:b/>
          <w:bCs/>
        </w:rPr>
        <w:t xml:space="preserve">Das Problem: </w:t>
      </w:r>
      <w:r>
        <w:t xml:space="preserve">Ästhetische Medizin ist eines der attraktivsten Felder für die ärztliche Selbständigkeit — reine Privatleistung, keine KV-Bürokratie, nachweislich hohe Margen (M1 Med Beauty: 21,8 % EBIT-Marge, ca. 2,1 Mio. € Umsatz pro Standort). Doch die Gründung ist ein Hindernislauf: 150.000–350.000 € Investment, 9–18 Monate Vorlauf und ein fragmentiertes Geflecht aus NiSV-Fachkunde, Hygieneverordnungen, HWG-Werberecht (verschärft durch das BGH-Urteil vom Juli 2025), GOÄ-Abrechnung und Umsatzsteuerfragen. Es gibt Berater für jedes Einzelproblem — aber keinen integrierten Anbieter.</w:t>
      </w:r>
    </w:p>
    <w:p>
      <w:pPr>
        <w:spacing w:after="160"/>
      </w:pPr>
      <w:r>
        <w:rPr>
          <w:b/>
          <w:bCs/>
        </w:rPr>
        <w:t xml:space="preserve">Die Lösung: </w:t>
      </w:r>
      <w:r>
        <w:t xml:space="preserve">KLINIQ bündelt fünf Module: (1) LAUNCH — schlüsselfertige Praxisgründung in 90 Tagen; (2) OS — der Software-Stack für Booking, Foto-Dokumentation, GOÄ-Abrechnung und Patientenakte; (3) GROWTH — HWG-konformes Marketing nach dem Kalia-Lab-Playbook; (4) SUPPLY — Einkaufsgemeinschaft für Toxine, Filler und Geräte mit 20–35 % Ersparnis; (5) ACADEMY — Training und Community.</w:t>
      </w:r>
    </w:p>
    <w:p>
      <w:pPr>
        <w:spacing w:after="160"/>
      </w:pPr>
      <w:r>
        <w:rPr>
          <w:b/>
          <w:bCs/>
        </w:rPr>
        <w:t xml:space="preserve">Warum wir: </w:t>
      </w:r>
      <w:r>
        <w:t xml:space="preserve">Das Gründerteam hat mit Kalia Lab (3,9 Mio. € Seed, Tengelmann Ventures/YZR Capital) drei ästhetische Kliniken in Hamburg, Berlin und Düsseldorf aufgebaut und den ersten Standort profitabel gemacht. Max Renneberg (Co-Founder &amp; Geschäftsführer Kalia Lab, Seriengründer) und Andrea Wagner (VP Growth Kalia Lab) kennen jeden Schritt des Klinik-Aufbaus aus eigener operativer Erfahrung — genau das Wissen, das KLINIQ produktisiert.</w:t>
      </w:r>
    </w:p>
    <w:p>
      <w:pPr>
        <w:spacing w:after="160"/>
      </w:pPr>
      <w:r>
        <w:rPr>
          <w:b/>
          <w:bCs/>
        </w:rPr>
        <w:t xml:space="preserve">Geschäftsmodell: </w:t>
      </w:r>
      <w:r>
        <w:t xml:space="preserve">Transparentes Pricing statt intransparenter Umsatzbeteiligung (bewusste Differenzierung zu Moxie): 29.000 € Launch-Paket, 990–1.990 €/Monat Plattform-Fee, plus Einkaufsmarge im Modul SUPPLY. Ein aktiver Standort generiert im Reifezustand ca. 30–40 T€ Plattformumsatz pro Jahr bei hoher Bruttomarge.</w:t>
      </w:r>
    </w:p>
    <w:p>
      <w:pPr>
        <w:spacing w:after="160"/>
      </w:pPr>
      <w:r>
        <w:rPr>
          <w:b/>
          <w:bCs/>
        </w:rPr>
        <w:t xml:space="preserve">Der Plan: </w:t>
      </w:r>
      <w:r>
        <w:t xml:space="preserve">10 Launches im Jahr 1, kumuliert 100 Partner-Praxen bis Ende Jahr 3. Umsatzentwicklung: ca. 0,6 Mio. € → 2,0 Mio. € → 3,9 Mio. €; EBITDA-Break-even im Laufe von Jahr 3. Finanzierungsbedarf: 1,5–2,0 Mio. € Seed.</w:t>
      </w:r>
    </w:p>
    <w:p>
      <w:pPr>
        <w:pStyle w:val="Heading1"/>
      </w:pPr>
      <w:r>
        <w:t xml:space="preserve">2. Problem &amp; Opportunity</w:t>
      </w:r>
    </w:p>
    <w:p>
      <w:pPr>
        <w:pStyle w:val="Heading2"/>
      </w:pPr>
      <w:r>
        <w:t xml:space="preserve">2.1 Die Ausgangslage der Ästhetikärzt:innen</w:t>
      </w:r>
    </w:p>
    <w:p>
      <w:pPr>
        <w:spacing w:after="160"/>
      </w:pPr>
      <w:r>
        <w:t xml:space="preserve">Tausende Ärzt:innen — Dermatolog:innen, Plastische Chirurg:innen, aber zunehmend auch Allgemeinmediziner:innen und Anästhesist:innen mit Injectables-Erfahrung — wollen raus aus Klinikdienst und KV-Hamsterrad. Die ästhetische Privatpraxis ist der attraktivste Weg: keine Kassenzulassung nötig, planbare Termine, hohe Zahlungsbereitschaft, wachsende Nachfrage. Allein 6.382 berufstätige Dermatolog:innen (Bundesärztekammer 2022) bilden den Kern der Zielgruppe; der adressierbare Pool ist deutlich größer, da Injectables fachgebietsübergreifend erbracht werden.</w:t>
      </w:r>
    </w:p>
    <w:p>
      <w:pPr>
        <w:spacing w:after="160"/>
      </w:pPr>
      <w:r>
        <w:t xml:space="preserve">Doch zwischen dem Wunsch und der eigenen Praxis stehen vier Hürden: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Kapital &amp; Risiko: </w:t>
      </w:r>
      <w:r>
        <w:t xml:space="preserve">150.000–350.000 € Startinvestment (Ausbau 20–100 T€, Laser 50–200 T€, Einrichtung, IT, Working Capital) — ohne Erfahrungswerte, was davon wirklich nötig ist.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Regulatorik-Dschungel: </w:t>
      </w:r>
      <w:r>
        <w:t xml:space="preserve">NiSV-Fachkunde für Laser/IPL/RF (Pflicht seit 2022), Landeshygieneverordnungen, Medizinprodukte-Betreiberverordnung, Anzeigepflichten, Rechtsformwahl (Privatpraxis, Arzt-GmbH nach § 23a MBO-Ä), GOÄ-Abrechnung mit Honorarvereinbarung und die oft übersehene 19-%-Umsatzsteuerpflicht rein kosmetischer Leistungen.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Marketing unter HWG-Bedingungen: </w:t>
      </w:r>
      <w:r>
        <w:t xml:space="preserve">Das BGH-Urteil vom 31.07.2025 verbietet Vorher-Nachher-Bilder auch für minimalinvasive Behandlungen (Botox, Filler) — auf allen Kanälen, auch bei Influencern. Wer als Neugründer:in Patient:innen gewinnen will, braucht ein rechtssicheres, funktionierendes Playbook.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Operative Einsamkeit: </w:t>
      </w:r>
      <w:r>
        <w:t xml:space="preserve">Einkaufskonditionen, Software-Auswahl, Personal, Prozesse, Preissetzung — alles muss allein und zum ersten Mal entschieden werden, während Kettenanbieter mit Skalenvorteilen arbeiten.</w:t>
      </w:r>
    </w:p>
    <w:p>
      <w:pPr>
        <w:pStyle w:val="Heading2"/>
      </w:pPr>
      <w:r>
        <w:t xml:space="preserve">2.2 Warum jetzt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Marktwachstum: </w:t>
      </w:r>
      <w:r>
        <w:t xml:space="preserve">Der deutsche Injectables-Markt wächst mit ca. 10,8 % CAGR auf voraussichtlich ca. 1,5 Mrd. USD bis 2030 (Grand View Research); Deutschland ist mit 22–25 % Anteil der größte Einzelmarkt Europas für ästhetische Medizintechnik. Botulinum ist laut DGÄPC-Statistik 2024/25 die häufigste ästhetische Behandlung (13,8 %).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Bewiesenes Modell in den USA: </w:t>
      </w:r>
      <w:r>
        <w:t xml:space="preserve">Moxie hat seit 2022 über 500 MedSpa-Gründungen ermöglicht und skaliert profitabel-nah mit geschätzten 10–15 Mio. USD ARR; Portrait, Skin Clique und vertikale SaaS-Player (Boulevard, ~800 Mio. USD Bewertung) validieren die Kategorie. In Deutschland existiert kein vergleichbares Angebot.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Regulatorische Verschärfung als Rückenwind: </w:t>
      </w:r>
      <w:r>
        <w:t xml:space="preserve">NiSV (seit 2022) und das BGH-HWG-Urteil (2025) erhöhen die Komplexität für Einzelgründer:innen — je höher die Compliance-Hürde, desto wertvoller die Plattform, die sie absorbiert.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Konsolidierungsdruck: </w:t>
      </w:r>
      <w:r>
        <w:t xml:space="preserve">Ketten wie M1 (43+ Standorte) und Aesthetify expandieren aggressiv. Einzelärzt:innen brauchen Ketten-Infrastruktur, ohne ihre Unabhängigkeit aufzugeben — exakt unser Versprechen.</w:t>
      </w:r>
    </w:p>
    <w:p>
      <w:pPr>
        <w:pStyle w:val="Heading1"/>
      </w:pPr>
      <w:r>
        <w:t xml:space="preserve">3. Die Lösung: Clinic in a Box</w:t>
      </w:r>
    </w:p>
    <w:p>
      <w:pPr>
        <w:spacing w:after="160"/>
      </w:pPr>
      <w:r>
        <w:t xml:space="preserve">KLINIQ macht aus einem 9–18-monatigen Gründungsmarathon einen strukturierten 90-Tage-Prozess und bleibt danach der operative Partner der Praxis. Zentrales Prinzip: </w:t>
      </w:r>
      <w:r>
        <w:rPr>
          <w:b/>
          <w:bCs/>
        </w:rPr>
        <w:t xml:space="preserve">Die Ärztin bleibt Eigentümerin ihrer Praxis, ihrer Patientenbeziehungen und ihrer Daten.</w:t>
      </w:r>
      <w:r>
        <w:t xml:space="preserve"> KLINIQ erbringt ausschließlich nicht-ärztliche Leistungen — rechtlich sauber, ohne Einfluss auf medizinische Entscheidungen.</w:t>
      </w:r>
    </w:p>
    <w:p>
      <w:pPr>
        <w:pStyle w:val="Heading2"/>
      </w:pPr>
      <w:r>
        <w:t xml:space="preserve">3.1 Die fünf Module</w:t>
      </w:r>
    </w:p>
    <w:p>
      <w:pPr>
        <w:pStyle w:val="Heading3"/>
      </w:pPr>
      <w:r>
        <w:t xml:space="preserve">Modul 1: LAUNCH — die Gründung (einmalig)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Standortanalyse und -suche (Einzugsgebiet, Kaufkraft, Wettbewerbsdichte), Mietvertragsverhandlung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Praxisplanung und Ausbau mit erprobten Grundrissen und Partnernetzwerk (Generalunternehmer, Praxiseinrichter)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Geräte-Stack: kuratierte Auswahl (Laser, RF, Skin-Analyse) mit Leasing-Strukturierung statt Kapitalbindung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Finanzierungsbegleitung: Businessplan für Bank/KfW (ERP-Gründerkredit StartGeld bis 125 T€), apoBank &amp; Co.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Rechtsform &amp; Verträge: Privatpraxis oder Arzt-GmbH, Musterverträge, Versicherungen (Berufshaftpflicht)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Compliance-Setup: NiSV-Fachkunde-Organisation, Hygieneplan nach Landesverordnung, MPBetreibV, Anzeigepflichten, QM-Handbuch, Einwilligungs- und Aufklärungsdokumente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Behandlungsmenü &amp; Preisstrategie auf Basis realer Kalia-Lab-Daten, GOÄ-/USt-konforme Abrechnungslogik</w:t>
      </w:r>
    </w:p>
    <w:p>
      <w:pPr>
        <w:pStyle w:val="Heading3"/>
      </w:pPr>
      <w:r>
        <w:t xml:space="preserve">Modul 2: OS — der Betriebs-Stack (monatlich)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Online-Booking &amp; Kalender, CRM und Recall-Automatisierung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Digitale Patientenakte mit standardisierter Foto-Dokumentation (Behandlungsverläufe, forensische Qualität)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GOÄ-Rechnungsstellung inkl. Honorarvereinbarung nach § 2 GOÄ und korrekter USt-Behandlung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Bestandsführung für Toxine/Filler (Chargen-Dokumentation), Kassensystem, Auswertungs-Dashboard</w:t>
      </w:r>
    </w:p>
    <w:p>
      <w:pPr>
        <w:pStyle w:val="Heading3"/>
      </w:pPr>
      <w:r>
        <w:t xml:space="preserve">Modul 3: GROWTH — Patientengewinnung (monatlich, optional)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HWG-/BGH-konformes Marketing-System: Local SEO, Google Business, Bewertungsmanagement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Done-for-you Social Media und Performance-Kampagnen nach dem Kalia-Lab-Growth-Playbook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Membership- und Treueprogramme, CRM-Strecken für Wiederkehrraten (der eigentliche Gewinnhebel)</w:t>
      </w:r>
    </w:p>
    <w:p>
      <w:pPr>
        <w:pStyle w:val="Heading3"/>
      </w:pPr>
      <w:r>
        <w:t xml:space="preserve">Modul 4: SUPPLY — Einkaufsgemeinschaft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Gebündelte Konditionen für Botulinum, Hyaluron-Filler, Skinboosters, Cosmeceuticals und Verbrauchsmaterial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Geräte-Rahmenverträge (Kauf/Leasing/Pay-per-Use); Zielersparnis für die Praxis: 20–35 % gegenüber Listenpreisen</w:t>
      </w:r>
    </w:p>
    <w:p>
      <w:pPr>
        <w:pStyle w:val="Heading3"/>
      </w:pPr>
      <w:r>
        <w:t xml:space="preserve">Modul 5: ACADEMY &amp; Community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Onboarding-Curriculum (Praxisführung, Beratungsgespräch, Fotografie, Abrechnung), Masterclasses mit erfahrenen Injector:innen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Partner-Community: Benchmarks, Peer-Austausch, jährlicher Summit</w:t>
      </w:r>
    </w:p>
    <w:p>
      <w:pPr>
        <w:pStyle w:val="Heading2"/>
      </w:pPr>
      <w:r>
        <w:t xml:space="preserve">3.2 Was KLINIQ bewusst nicht ist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Kein Franchise: </w:t>
      </w:r>
      <w:r>
        <w:t xml:space="preserve">keine Markenpflicht, keine Royalty auf den Praxisumsatz. US-Franchises (VIO Med Spa: 794 T$–1,23 Mio. $ Investment, 6 % Royalty; Restore Hyper Wellness: 38/100 Zufriedenheit) zeigen, warum das Modell für Ärzt:innen unattraktiv ist.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Keine Kette: </w:t>
      </w:r>
      <w:r>
        <w:t xml:space="preserve">Ever/Body (110 Mio. USD VC) endete 2025 im PE-Notverkauf — das kapitalintensive Own-and-Operate-Modell skaliert schlechter als das Enabler-Modell. Kalia Lab bleibt davon unberührt unser Referenz- und Kompetenzanker.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Kein medizinischer Leistungserbringer: </w:t>
      </w:r>
      <w:r>
        <w:t xml:space="preserve">Injektionen sind nicht delegierbare ärztliche Kernleistungen; KLINIQ greift zu keinem Zeitpunkt in Indikation, Behandlung oder Preisgestaltung ein.</w:t>
      </w:r>
    </w:p>
    <w:p>
      <w:pPr>
        <w:pStyle w:val="Heading1"/>
      </w:pPr>
      <w:r>
        <w:t xml:space="preserve">4. Markt</w:t>
      </w:r>
    </w:p>
    <w:p>
      <w:pPr>
        <w:pStyle w:val="Heading2"/>
      </w:pPr>
      <w:r>
        <w:t xml:space="preserve">4.1 Marktgröße und Wachstum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Ästhetische Medizin Deutschland: Marktschätzungen zwischen 1,8 und 7,7 Mrd. USD (2024) je nach Abgrenzung; zweistellige Wachstumsraten in allen Quellen (Grand View, MRFR, Spherical Insights)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Injectables Deutschland: ca. 1,5 Mrd. USD bis 2030, CAGR 10,8 % (Grand View Research)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Deutschland = größter europäischer Markt für ästhetische Medizintechnik (22–25 % Anteil)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Nachfrage: Botulinum #1-Behandlung (13,8 %), Filler 10,5 % (DGÄPC 2024/25); nicht-chirurgische Verfahren wachsen strukturell (Fettreduktion +190 % seit 2011, ISAPS)</w:t>
      </w:r>
    </w:p>
    <w:p>
      <w:pPr>
        <w:pStyle w:val="Heading2"/>
      </w:pPr>
      <w:r>
        <w:t xml:space="preserve">4.2 Zielgruppe und Marktpotenzial für KLINIQ</w:t>
      </w:r>
    </w:p>
    <w:p>
      <w:pPr>
        <w:spacing w:after="160"/>
      </w:pPr>
      <w:r>
        <w:t xml:space="preserve">Primäre Zielgruppe: angestellte oder teilselbständige Ärzt:innen mit Injectables-Erfahrung, 32–45 Jahre, die eine eigene ästhetische Praxis anstreben. Kernpool: 6.382 Dermatolog:innen, ca. 1.000 Plastische/Ästhetische Chirurg:innen, plus fachfremde Injector:innen (konservativ mehrere Tausend). Bei angenommen 200–300 relevanten Neugründungen pro Jahr in Deutschland und einem Zielmarktanteil von 20–30 % im Reifezustand sind 50–80 Launches p.a. realistisch — unser Plan (60 in Jahr 3) liegt innerhalb dieses Korridors.</w:t>
      </w:r>
    </w:p>
    <w:p>
      <w:pPr>
        <w:spacing w:after="160"/>
      </w:pPr>
      <w:r>
        <w:t xml:space="preserve">Sekundär: </w:t>
      </w:r>
      <w:r>
        <w:rPr>
          <w:b/>
          <w:bCs/>
        </w:rPr>
        <w:t xml:space="preserve">bestehende</w:t>
      </w:r>
      <w:r>
        <w:t xml:space="preserve"> Ästhetikpraxen, die nur OS, GROWTH oder SUPPLY beziehen (Land-and-Expand ohne Launch-Paket) — analog zu Boulevard/RepeatMD in den USA, die zeigen, wie groß der reine Software-/Membership-Markt ist (Boulevard: 80 Mio. USD Series D, 2025).</w:t>
      </w:r>
    </w:p>
    <w:p>
      <w:pPr>
        <w:pStyle w:val="Heading2"/>
      </w:pPr>
      <w:r>
        <w:t xml:space="preserve">4.3 Referenz-Ökonomie einer Partner-Praxis</w:t>
      </w:r>
    </w:p>
    <w:p>
      <w:pPr>
        <w:spacing w:after="160"/>
      </w:pPr>
      <w:r>
        <w:t xml:space="preserve">Benchmarks: Eine fokussierte Solo-Ästhetikpraxis erreicht ca. 250 T€ Umsatz; professionalisierte Standorte deutlich mehr (M1 Beauty: ca. 2,1 Mio. € Umsatz je Standort, 21,8 % EBIT-Marge). Unsere Ziel-Ökonomie für eine KLINIQ-Partnerpraxis: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1900"/>
        <w:gridCol w:w="2026"/>
      </w:tblGrid>
      <w:tr>
        <w:trPr>
          <w:tblHeader/>
        </w:trP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Kennzahl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1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2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3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Umsatz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450 T€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750 T€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1.000 T€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EBITDA-Marge (nach Arztgehalt-Äquivalent)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5–10 %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20–25 %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25–35 %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Break-even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Monat 8–12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Startinvestment (mit KLINIQ)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180–250 T€ statt 300 T€+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Time-to-Open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90 Tage statt 9–18 Monate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5. Wettbewerb &amp; Benchmarks</w:t>
      </w:r>
    </w:p>
    <w:p>
      <w:pPr>
        <w:pStyle w:val="Heading2"/>
      </w:pPr>
      <w:r>
        <w:t xml:space="preserve">5.1 USA: Die Blaupause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400"/>
        <w:gridCol w:w="3826"/>
      </w:tblGrid>
      <w:tr>
        <w:trPr>
          <w:tblHeader/>
        </w:trP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Player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Modell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Kennzahlen / Learnings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Moxie (2022)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Launch-Accelerator + Software + Coaching + Einkauf; Launch-Fee + Umsatzbeteiligung (Höhe intransparent)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~25,7 Mio. $ Funding (SignalFire, Lachy Groom); 500–700+ MedSpas; Launch &lt;30 T$ vs. 163 T$ Branchenschnitt; Top-Partner &gt;1 Mio. $ Umsatz bei &gt;40 % Marge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Portrait (2019)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Legacy: Portrait trägt alle Kosten, Provider erhält bis 30 % vom Umsatz. Lite: kostenlos, Monetarisierung über Einkaufsmarge (50–60 % Rabatte)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~25 Mio. $ Funding; 800–1.000 Provider; offener Konflikt mit Moxie über Patientendaten-Lock-in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Skin Clique (2018)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Concierge-Modell (Hausbesuche), eigenes Training, Medical Oversight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750+ Provider in 41 Staaten, gebootstrappt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Boulevard / RepeatMD / Mangomint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Reines vertikales SaaS ohne Launch/Compliance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Boulevard: 80 Mio. $ Series D (~800 Mio. $ Bewertung); RepeatMD: 50 Mio. $; validieren die Software-Zahlungsbereitschaft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VIO / Restore (Franchise)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Klassisches Franchise: 794 T$–1,3 Mio. $ Invest, 6–8 % Royalty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Schwache Zufriedenheit (Restore: 38/100), 10-fache Startkosten vs. Moxie — Enabler schlägt Franchise</w:t>
            </w:r>
          </w:p>
        </w:tc>
      </w:tr>
      <w:tr>
        <w:tc>
          <w:tcPr>
            <w:tcW w:type="dxa" w:w="18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Ever/Body (Kette)</w:t>
            </w:r>
          </w:p>
        </w:tc>
        <w:tc>
          <w:tcPr>
            <w:tcW w:type="dxa" w:w="3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Own-and-Operate, 110 Mio. $ VC</w:t>
            </w:r>
          </w:p>
        </w:tc>
        <w:tc>
          <w:tcPr>
            <w:tcW w:type="dxa" w:w="38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2025 PE-Notverkauf — Ketten-Modell kapitalintensiv, Enabler-Modell überlegen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2"/>
      </w:pPr>
      <w:r>
        <w:t xml:space="preserve">5.2 Learnings aus den US-Schwächen (= unsere Designprinzipien)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Transparente Preise: </w:t>
      </w:r>
      <w:r>
        <w:t xml:space="preserve">Moxie/Portrait publizieren keine Fees; wiederkehrender Kritikpunkt in Owner-Communities. KLINIQ veröffentlicht sein Pricing.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Keine Umsatzbeteiligung: </w:t>
      </w:r>
      <w:r>
        <w:t xml:space="preserve">Revenue-Share skaliert gegen erfolgreiche Partner und erzeugt Abwanderung zu Flat-SaaS — und wäre in Deutschland berufsrechtlich heikel (Verbot der Beteiligung Gewerblicher am ärztlichen Honorar). Unser Flat-Pricing ist zugleich das rechtlich sauberere Modell.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Datenhoheit garantiert: </w:t>
      </w:r>
      <w:r>
        <w:t xml:space="preserve">Der Moxie-Portrait-Konflikt zeigt das Lock-in-Risiko. Bei KLINIQ gehören Patientenbeziehung und Daten vertraglich der Praxis — inklusive Export-Garantie.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Echtes Training statt Vermittlungsverzeichnis: </w:t>
      </w:r>
      <w:r>
        <w:t xml:space="preserve">Moxie setzt Erfahrung voraus; wir bauen mit der ACADEMY (und ärztlicher Leitung aus dem Kalia-Umfeld) systematische Qualität auf.</w:t>
      </w:r>
    </w:p>
    <w:p>
      <w:pPr>
        <w:pStyle w:val="Heading2"/>
      </w:pPr>
      <w:r>
        <w:t xml:space="preserve">5.3 DACH: White Space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M1 Med Beauty, Aesthetify, S-thetic, Kalia Lab: </w:t>
      </w:r>
      <w:r>
        <w:t xml:space="preserve">eigene Ketten — Wettbewerber um Patient:innen, aber keine Angebote für gründungswillige Ärzt:innen.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Clinic im Centrum: </w:t>
      </w:r>
      <w:r>
        <w:t xml:space="preserve">Franchise nur für Plastische Chirurg:innen mit 10+ Jahren Erfahrung (~38 Standorte) — enge Nische, Franchise-Logik.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Fragmentierte Enabler: </w:t>
      </w:r>
      <w:r>
        <w:t xml:space="preserve">NiSV-Akademien, Laser-Leasing, GOÄ-Abrechnungsdienste, Praxismarketing-Agenturen, Gründungsberater — jeder löst ein Einzelproblem. Ein integriertes Turnkey-Angebot für Ästhetikärzt:innen existiert nicht. KLINIQ besetzt diese Lücke als First Mover.</w:t>
      </w:r>
    </w:p>
    <w:p>
      <w:pPr>
        <w:pStyle w:val="Heading1"/>
      </w:pPr>
      <w:r>
        <w:t xml:space="preserve">6. Geschäftsmodell &amp; Pricing</w:t>
      </w:r>
    </w:p>
    <w:p>
      <w:pPr>
        <w:spacing w:after="160"/>
      </w:pPr>
      <w:r>
        <w:t xml:space="preserve">Vier Erlösströme, transparent und öffentlich: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500"/>
        <w:gridCol w:w="4226"/>
      </w:tblGrid>
      <w:tr>
        <w:trPr>
          <w:tblHeader/>
        </w:trP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Erlösstrom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Preis</w:t>
            </w:r>
          </w:p>
        </w:tc>
        <w:tc>
          <w:tcPr>
            <w:tcW w:type="dxa" w:w="4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Inhalt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LAUNCH-Paket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29.000 € einmalig</w:t>
            </w:r>
          </w:p>
        </w:tc>
        <w:tc>
          <w:tcPr>
            <w:tcW w:type="dxa" w:w="4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Komplette Gründungsbegleitung bis Eröffnung (Modul 1) inkl. Academy-Onboarding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OS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990 €/Monat</w:t>
            </w:r>
          </w:p>
        </w:tc>
        <w:tc>
          <w:tcPr>
            <w:tcW w:type="dxa" w:w="4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Software-Stack: Booking, Akte, Foto-Doku, GOÄ-Abrechnung, Inventar, Dashboard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OS + GROWTH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1.990 €/Monat</w:t>
            </w:r>
          </w:p>
        </w:tc>
        <w:tc>
          <w:tcPr>
            <w:tcW w:type="dxa" w:w="4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OS plus Marketing-System: Local SEO, Social, Kampagnen, Membership/CRM</w:t>
            </w:r>
          </w:p>
        </w:tc>
      </w:tr>
      <w:tr>
        <w:tc>
          <w:tcPr>
            <w:tcW w:type="dxa" w:w="23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SUPPLY</w:t>
            </w:r>
          </w:p>
        </w:tc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Marge im Einkauf (~10 %)</w:t>
            </w:r>
          </w:p>
        </w:tc>
        <w:tc>
          <w:tcPr>
            <w:tcW w:type="dxa" w:w="42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Plattformkonditionen; Praxis spart netto 20–35 % ggü. Listenpreis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60"/>
      </w:pPr>
      <w:r>
        <w:rPr>
          <w:b/>
          <w:bCs/>
        </w:rPr>
        <w:t xml:space="preserve">Plattform-Ökonomie je Partner-Praxis: </w:t>
      </w:r>
      <w:r>
        <w:t xml:space="preserve">Jahr 1: 29 T€ Launch + anteilige Fees + Einkauf ≈ 50–55 T€; Folgejahre: 30–40 T€ wiederkehrend (Fees Ø 18 T€ p.a. + Supply-Marge 8–12 T€ bei 80–120 T€ Einkaufsvolumen). Bruttomarge der Plattform: Launch ~50 %, OS/GROWTH ~75 %, SUPPLY ~90 % auf die Marge.</w:t>
      </w:r>
    </w:p>
    <w:p>
      <w:pPr>
        <w:spacing w:after="160"/>
      </w:pPr>
      <w:r>
        <w:rPr>
          <w:b/>
          <w:bCs/>
        </w:rPr>
        <w:t xml:space="preserve">Berufsrechtliche Architektur: </w:t>
      </w:r>
      <w:r>
        <w:t xml:space="preserve">KLINIQ erbringt ausschließlich nicht-ärztliche Leistungen (Beratung, Software, Marketing, Einkauf) gegen feste Vergütung. Keine Beteiligung am ärztlichen Honorar, keine Weisungsrechte in medizinischen Fragen — konform mit MBO-Ä und Delegationsregeln. Rechtsgutachten vor Launch vorgesehen.</w:t>
      </w:r>
    </w:p>
    <w:p>
      <w:pPr>
        <w:pStyle w:val="Heading1"/>
      </w:pPr>
      <w:r>
        <w:t xml:space="preserve">7. Finanzplan (3 Jahre)</w:t>
      </w:r>
    </w:p>
    <w:p>
      <w:pPr>
        <w:pStyle w:val="Heading2"/>
      </w:pPr>
      <w:r>
        <w:t xml:space="preserve">7.1 Annahmen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Launches: 10 (Jahr 1) / 30 (Jahr 2) / 60 (Jahr 3); kumuliert aktive Praxen zum Jahresende: 10 / 40 / 100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Fee-Mix: 60 % der Praxen wählen OS+GROWTH (1.990 €), 40 % OS (990 €); Ø ca. 1.500 €/Monat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Supply: Einkaufsvolumen je reifer Praxis 80–120 T€ p.a., Plattformmarge ~10 %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Churn: &lt;5 % p.a. (Praxen sind langfristige, ortsgebundene Betriebe)</w:t>
      </w:r>
    </w:p>
    <w:p>
      <w:pPr>
        <w:pStyle w:val="Heading2"/>
      </w:pPr>
      <w:r>
        <w:t xml:space="preserve">7.2 Umsatz- und Ergebnisplanung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1900"/>
        <w:gridCol w:w="1900"/>
        <w:gridCol w:w="2026"/>
      </w:tblGrid>
      <w:tr>
        <w:trPr>
          <w:tblHeader/>
        </w:trP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in T€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1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2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Jahr 3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Launch-Pakete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290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870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1.740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Plattform-Fees (OS/GROWTH)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75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450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1.260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SUPPLY-Marge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40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700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Academy/Sonstiges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80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150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Umsatz gesamt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425–600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1.900–2.100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3.700–3.900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Personal (6 / 14 / 22 FTE)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-600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-1.400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-2.200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Marketing &amp; Vertrieb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-150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-300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-450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Tech &amp; Produkt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-150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-250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-350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Sonstige OpEx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-100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-200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-300</w:t>
            </w:r>
          </w:p>
        </w:tc>
      </w:tr>
      <w:tr>
        <w:tc>
          <w:tcPr>
            <w:tcW w:type="dxa" w:w="32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EBITDA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ca. -450</w:t>
            </w:r>
          </w:p>
        </w:tc>
        <w:tc>
          <w:tcPr>
            <w:tcW w:type="dxa" w:w="19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ca. -150</w:t>
            </w:r>
          </w:p>
        </w:tc>
        <w:tc>
          <w:tcPr>
            <w:tcW w:type="dxa" w:w="2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ca. +500</w:t>
            </w:r>
          </w:p>
        </w:tc>
      </w:tr>
    </w:tbl>
    <w:p>
      <w:pPr>
        <w:spacing w:after="120"/>
      </w:pPr>
      <w:r>
        <w:t xml:space="preserve"/>
      </w:r>
    </w:p>
    <w:p>
      <w:pPr>
        <w:spacing w:after="160"/>
      </w:pPr>
      <w:r>
        <w:t xml:space="preserve">Break-even auf Monatsbasis im Laufe von Jahr 3. Der Umsatz ist zu ca. 60 % wiederkehrend ab Jahr 3 (Fees + Supply), mit steigender Tendenz, da der Bestand an aktiven Praxen schneller wächst als die Launch-Kohorten.</w:t>
      </w:r>
    </w:p>
    <w:p>
      <w:pPr>
        <w:pStyle w:val="Heading2"/>
      </w:pPr>
      <w:r>
        <w:t xml:space="preserve">7.3 Finanzierungsbedarf</w:t>
      </w:r>
    </w:p>
    <w:p>
      <w:pPr>
        <w:spacing w:after="160"/>
      </w:pPr>
      <w:r>
        <w:rPr>
          <w:b/>
          <w:bCs/>
        </w:rPr>
        <w:t xml:space="preserve">Seed-Runde: 1,5–2,0 Mio. €</w:t>
      </w:r>
      <w:r>
        <w:t xml:space="preserve"> zur Deckung des kumulierten Cash-Bedarfs (ca. 1,2 Mio. €) plus Puffer. Mittelverwendung: 45 % Team (Launch-Ops, Produkt), 25 % Produktentwicklung OS, 20 % Vertrieb/Marketing, 10 % Legal/Sonstiges. Meilenstein für Series A: 40+ aktive Praxen, &gt;1,5 Mio. € ARR-Äquivalent, bewiesene Partner-Ökonomie.</w:t>
      </w:r>
    </w:p>
    <w:p>
      <w:pPr>
        <w:pStyle w:val="Heading1"/>
      </w:pPr>
      <w:r>
        <w:t xml:space="preserve">8. Go-to-Market</w:t>
      </w:r>
    </w:p>
    <w:p>
      <w:pPr>
        <w:pStyle w:val="Heading2"/>
      </w:pPr>
      <w:r>
        <w:t xml:space="preserve">8.1 Kanäle zur Ärzte-Akquise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Eigenes Netzwerk &amp; Kalia-Umfeld: </w:t>
      </w:r>
      <w:r>
        <w:t xml:space="preserve">Die ersten 3–5 Pilot-Partner kommen aus dem direkten Umfeld des Teams (Ärzt:innen, die das Kalia-Playbook kennen). Pilot-Konditionen gegen Referenzen und Fallstudien.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Fachkongresse &amp; Gesellschaften: </w:t>
      </w:r>
      <w:r>
        <w:t xml:space="preserve">Präsenz auf DGÄPC-, DGBT-, IMCAS- und AMWC-Veranstaltungen; Kooperationen mit Weiterbildungsanbietern und NiSV-Akademien (deren Absolvent:innen sind exakt unsere Zielgruppe im Gründungsmoment).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Content &amp; Inbound: </w:t>
      </w:r>
      <w:r>
        <w:t xml:space="preserve">Der definitive „Praxisgründungs-Guide Ästhetik“ (SEO-Asset), Gründungs-Rechner, Webinare, LinkedIn-Thought-Leadership von Max &amp; Andrea — die Kalia-Story als Beweis.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 xml:space="preserve">Community-Flywheel: </w:t>
      </w:r>
      <w:r>
        <w:t xml:space="preserve">Zufriedene Partner werben Kolleg:innen (Referral-Programm); die ACADEMY erzeugt kontinuierlichen Kontakt zur Zielgruppe vor deren Gründungsentscheidung.</w:t>
      </w:r>
    </w:p>
    <w:p>
      <w:pPr>
        <w:pStyle w:val="Heading2"/>
      </w:pPr>
      <w:r>
        <w:t xml:space="preserve">8.2 Sales-Motion</w:t>
      </w:r>
    </w:p>
    <w:p>
      <w:pPr>
        <w:spacing w:after="160"/>
      </w:pPr>
      <w:r>
        <w:t xml:space="preserve">Beratungsgetriebener Vertrieb mit 60–90 Tagen Zyklus: Erstgespräch → Standort-/Machbarkeitsanalyse (kostenpflichtig ab 990 €, wird bei Launch verrechnet) → Launch-Vertrag. Die kostenpflichtige Analyse qualifiziert Leads und finanziert den Vertrieb teilweise vor.</w:t>
      </w:r>
    </w:p>
    <w:p>
      <w:pPr>
        <w:pStyle w:val="Heading1"/>
      </w:pPr>
      <w:r>
        <w:t xml:space="preserve">9. Team</w:t>
      </w:r>
    </w:p>
    <w:p>
      <w:pPr>
        <w:spacing w:after="160"/>
      </w:pPr>
      <w:r>
        <w:rPr>
          <w:b/>
          <w:bCs/>
        </w:rPr>
        <w:t xml:space="preserve">Max Renneberg — Gründer &amp; CEO. </w:t>
      </w:r>
      <w:r>
        <w:t xml:space="preserve">Co-Founder und Geschäftsführer von Kalia Lab (3,9 Mio. € Seed von Tengelmann Ventures und YZR Capital; drei Standorte in Hamburg, Berlin und Düsseldorf; erster Standort profitabel). Seriengründer mit 15+ Jahren Company-Building-Erfahrung (u. a. Kochhaus, deltamethod, factorymarket, esanum). Max hat jeden Baustein des Klinik-Aufbaus — Standortwahl, Ausbau, Genehmigungen, Geräte, Team, Wirtschaftlichkeit — selbst verantwortet. LinkedIn: linkedin.com/in/renneberg</w:t>
      </w:r>
    </w:p>
    <w:p>
      <w:pPr>
        <w:spacing w:after="160"/>
      </w:pPr>
      <w:r>
        <w:rPr>
          <w:b/>
          <w:bCs/>
        </w:rPr>
        <w:t xml:space="preserve">Andrea Wagner — Gründerin &amp; CGO (Chief Growth Officer). </w:t>
      </w:r>
      <w:r>
        <w:t xml:space="preserve">VP Growth bei Kalia Lab. Verantwortet dort Patientengewinnung und Marke über alle Kanäle — Performance-Marketing, Local SEO, Social, CRM und Retention — unter den verschärften Bedingungen des Heilmittelwerberechts. Zuvor Marketing-Führungsrollen bei Mika und esanum sowie Stationen bei L'Oréal und Nestlé Nespresso; MSc Betriebswirtschaft (Universität Münster). Genau dieses Playbook wird als Modul GROWTH produktisiert. LinkedIn: linkedin.com/in/andrea-wagner-ba7b041a5</w:t>
      </w:r>
    </w:p>
    <w:p>
      <w:pPr>
        <w:spacing w:after="160"/>
      </w:pPr>
      <w:r>
        <w:rPr>
          <w:b/>
          <w:bCs/>
        </w:rPr>
        <w:t xml:space="preserve">Geplante Schlüsselrollen (mit Seed-Finanzierung): </w:t>
      </w:r>
      <w:r>
        <w:t xml:space="preserve">Head of Launch Operations (Praxisbau/Projektmanagement), Head of Product (OS), Ärztliche:r Direktor:in (Qualität &amp; Academy, Teilzeit/Beirat), Legal Counsel (Medizinrecht, extern).</w:t>
      </w:r>
    </w:p>
    <w:p>
      <w:pPr>
        <w:pStyle w:val="Heading1"/>
      </w:pPr>
      <w:r>
        <w:t xml:space="preserve">10. Roadmap &amp; Meilensteine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rPr>
          <w:tblHeader/>
        </w:trP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Zeitraum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Meilensteine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Q3–Q4 2026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Konzeptvalidierung mit 20+ Zielgruppen-Interviews; Rechtsgutachten Berufsrecht; 2–3 Pilot-Partner unterschrieben; Seed-Runde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H1 2027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Erste 2 Pilot-Praxen eröffnet (Launch-Playbook v1); OS-MVP live (Booking, Akte, Abrechnung); SUPPLY-Rahmenverträge mit 2 Toxin-/Filler-Distributoren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H2 2027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10 Praxen kumuliert; GROWTH-Modul produktisiert; Academy-Curriculum v1; NPS &gt; 60 bei Pilotpartnern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2028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40 Praxen kumuliert; Team auf 14 FTE; Series-A-Readiness (&gt;1,5 Mio. € wiederkehrender Umsatz-Run-Rate)</w:t>
            </w:r>
          </w:p>
        </w:tc>
      </w:tr>
      <w:tr>
        <w:tc>
          <w:tcPr>
            <w:tcW w:type="dxa" w:w="24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2029</w:t>
            </w:r>
          </w:p>
        </w:tc>
        <w:tc>
          <w:tcPr>
            <w:tcW w:type="dxa" w:w="66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100 Praxen kumuliert; EBITDA-Break-even; Expansion Österreich/Schweiz; Evaluation Fremdkapital-Produkt (Gründungsfinanzierung mit Bankpartner)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11. Risiken &amp; Mitigation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Risiko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DEAE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</w:rPr>
              <w:t xml:space="preserve">Mitigation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Berufsrecht (MBO-Ä): Grenzen für Einfluss Gewerblicher auf ärztliche Tätigkeit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Architektur ohne Umsatzbeteiligung und ohne medizinische Weisungsrechte; Rechtsgutachten vor Launch; laufende medizinrechtliche Begleitung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Partner-Praxis scheitert wirtschaftlich (Reputationsrisiko)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Strenge Partner-Selektion (klinische Erfahrung, Standort-Score, Eigenkapital); Standort-Vetorecht; Frühwarn-KPIs im OS-Dashboard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Kapitalbindung/Finanzierungszugang der Ärzt:innen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KfW-/apoBank-Routinen, Leasing statt Kauf, gestaffeltes Geräte-Setup; später eigenes Finanzierungsprodukt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US-Player (Moxie) tritt in EU-Markt ein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First-Mover-Vorteil, lokale Regulatorik als Burggraben, exklusive Supply-Verträge, Community-Lock-in (positiv, via Mehrwert)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Konjunktur: Ästhetik ist diskretionärer Konsum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Injectables zeigen historisch robuste Nachfrage („Lipstick-Effekt“); Fokus auf wiederkehrende Behandlungen (Botulinum-Zyklus 3–4 Monate)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Schlüsselpersonen-Abhängigkeit (Gründer)</w:t>
            </w:r>
          </w:p>
        </w:tc>
        <w:tc>
          <w:tcPr>
            <w:tcW w:type="dxa" w:w="6026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t xml:space="preserve">Frühzeitige Dokumentation des Playbooks als Produkt (nicht als Personenwissen); ESOP für Kernteam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</w:pPr>
      <w:r>
        <w:t xml:space="preserve">12. Quellen (Auswahl)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Moxie: </w:t>
      </w:r>
      <w:hyperlink w:history="1" r:id="rIdhkjicglgbwidzpczxtmtc">
        <w:r>
          <w:rPr>
            <w:rStyle w:val="Hyperlink"/>
          </w:rPr>
          <w:t xml:space="preserve">joinmoxie.com</w:t>
        </w:r>
      </w:hyperlink>
      <w:r>
        <w:t xml:space="preserve"> · TechCrunch (28.08.2023) · Series-B-Announcement 2024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Portrait: </w:t>
      </w:r>
      <w:hyperlink w:history="1" r:id="rId8yotnxeqx0ep5jr6ph-zs">
        <w:r>
          <w:rPr>
            <w:rStyle w:val="Hyperlink"/>
          </w:rPr>
          <w:t xml:space="preserve">portraitcare.com</w:t>
        </w:r>
      </w:hyperlink>
      <w:r>
        <w:t xml:space="preserve"> · BusinessWire (25.09.2024)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Markt: Grand View Research (Aesthetic Injectables Germany) · Mordor Intelligence (Europe Medical Aesthetic Devices) · DGÄPC-Statistik 2024/25 · ISAPS Global Statistics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M1 Kliniken AG: Geschäftsbericht 2024 · Aesthetify: aesthetify.de · Clinic im Centrum: clinic-im-centrum.de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Regulatorik: NiSV (BMUV-FAQ) · BGH-Urteil v. 31.07.2025 zu § 11 HWG · Bundesärztekammer: Persönliche Leistungserbringung · GOÄ-Ratgeber Ärzteblatt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Kalia Lab: </w:t>
      </w:r>
      <w:hyperlink w:history="1" r:id="rIdugxsjv3hkih4wytzxdpax">
        <w:r>
          <w:rPr>
            <w:rStyle w:val="Hyperlink"/>
          </w:rPr>
          <w:t xml:space="preserve">kalialab.de</w:t>
        </w:r>
      </w:hyperlink>
      <w:r>
        <w:t xml:space="preserve"> · deutsche-startups.de (10.06.2024) · starting-up.de (Finanzierungsrunde 3,9 Mio. €)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5A5A5A"/>
        <w:sz w:val="18"/>
        <w:szCs w:val="18"/>
      </w:rPr>
      <w:t xml:space="preserve">Seite </w:t>
    </w:r>
    <w:r>
      <w:rPr>
        <w:color w:val="5A5A5A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CCCCC" w:sz="4" w:space="4"/>
      </w:pBdr>
      <w:tabs>
        <w:tab w:val="right" w:pos="9026"/>
      </w:tabs>
    </w:pPr>
    <w:r>
      <w:rPr>
        <w:color w:val="5A5A5A"/>
        <w:sz w:val="18"/>
        <w:szCs w:val="18"/>
      </w:rPr>
      <w:t xml:space="preserve">KLINIQ — Businessplan</w:t>
    </w:r>
    <w:r>
      <w:rPr>
        <w:color w:val="5A5A5A"/>
        <w:sz w:val="18"/>
        <w:szCs w:val="18"/>
      </w:rPr>
      <w:t xml:space="preserve">	Vertraulich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Arial" w:cs="Arial" w:eastAsia="Arial" w:hAnsi="Arial"/>
      <w:b/>
      <w:bCs/>
      <w:color w:val="1F5F5B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40" w:before="260"/>
      <w:outlineLvl w:val="1"/>
    </w:pPr>
    <w:rPr>
      <w:rFonts w:ascii="Arial" w:cs="Arial" w:eastAsia="Arial" w:hAnsi="Arial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Arial" w:cs="Arial" w:eastAsia="Arial" w:hAnsi="Arial"/>
      <w:b/>
      <w:bCs/>
      <w:color w:val="5A5A5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hkjicglgbwidzpczxtmtc" Type="http://schemas.openxmlformats.org/officeDocument/2006/relationships/hyperlink" Target="https://www.joinmoxie.com" TargetMode="External"/><Relationship Id="rId8yotnxeqx0ep5jr6ph-zs" Type="http://schemas.openxmlformats.org/officeDocument/2006/relationships/hyperlink" Target="https://www.portraitcare.com" TargetMode="External"/><Relationship Id="rIdugxsjv3hkih4wytzxdpax" Type="http://schemas.openxmlformats.org/officeDocument/2006/relationships/hyperlink" Target="https://www.kalialab.de" TargetMode="External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2026-07-04T03:42:53.774Z</dcterms:created>
  <dcterms:modified xsi:type="dcterms:W3CDTF">2026-07-04T03:42:53.775Z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